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bidi w:val="0"/>
        <w:spacing w:before="200" w:after="120"/>
        <w:ind w:hanging="0" w:left="0"/>
        <w:jc w:val="left"/>
        <w:rPr/>
      </w:pPr>
      <w:r>
        <w:rPr>
          <w:rStyle w:val="Strong"/>
          <w:b/>
          <w:bCs/>
          <w:shd w:fill="auto" w:val="clear"/>
        </w:rPr>
        <w:t>XRP ETFs: A Sign Of The End Of The SEC V. Ripple Case</w:t>
      </w:r>
    </w:p>
    <w:p>
      <w:pPr>
        <w:pStyle w:val="BodyText"/>
        <w:numPr>
          <w:ilvl w:val="1"/>
          <w:numId w:val="1"/>
        </w:numPr>
        <w:bidi w:val="0"/>
        <w:spacing w:before="200" w:after="120"/>
        <w:ind w:hanging="0" w:left="0"/>
        <w:jc w:val="left"/>
        <w:rPr>
          <w:rStyle w:val="Strong"/>
          <w:shd w:fill="auto" w:val="clear"/>
        </w:rPr>
      </w:pPr>
      <w:r>
        <w:rPr>
          <w:rStyle w:val="Strong"/>
          <w:shd w:fill="auto" w:val="clear"/>
        </w:rPr>
        <w:t xml:space="preserve">The SEC’s recent acknowledgment of Grayscale’s </w:t>
      </w:r>
      <w:hyperlink r:id="rId2" w:tgtFrame="_blank">
        <w:r>
          <w:rPr>
            <w:rStyle w:val="Hyperlink"/>
            <w:b/>
            <w:b/>
            <w:bCs/>
            <w:shd w:fill="auto" w:val="clear"/>
          </w:rPr>
          <w:t>XRP</w:t>
        </w:r>
      </w:hyperlink>
      <w:r>
        <w:rPr>
          <w:rStyle w:val="Strong"/>
          <w:shd w:fill="auto" w:val="clear"/>
        </w:rPr>
        <w:t xml:space="preserve"> ETFs heightened optimism for the eventual resolution or settlement of its case against Ripple.</w:t>
      </w:r>
      <w:r>
        <w:rPr>
          <w:shd w:fill="auto" w:val="clear"/>
        </w:rPr>
        <w:t xml:space="preserve"> </w:t>
      </w:r>
    </w:p>
    <w:p>
      <w:pPr>
        <w:pStyle w:val="BodyText"/>
        <w:rPr/>
      </w:pPr>
      <w:r>
        <w:rPr/>
        <w:t>The US Securities and Exchange Commission (SEC) recently acknowledged Grayscale’s 19b-4 filing for an XRP ETF. Many analysts believe the agency’s accommodation of the document hints at an incoming resolution or settlement of the case between the SEC and Ripple. In fact, some predicted that the regulator might abandon its case against the crypto-affiliated firm even before its final deadline to decide on the fate of the exchange-traded product (ETP).</w:t>
      </w:r>
    </w:p>
    <w:p>
      <w:pPr>
        <w:pStyle w:val="Heading2"/>
        <w:numPr>
          <w:ilvl w:val="1"/>
          <w:numId w:val="1"/>
        </w:numPr>
        <w:ind w:hanging="0" w:left="0"/>
        <w:rPr/>
      </w:pPr>
      <w:r>
        <w:rPr/>
        <w:t>Grayscale’s XRP ETF Filing</w:t>
      </w:r>
    </w:p>
    <w:p>
      <w:pPr>
        <w:pStyle w:val="BodyText"/>
        <w:rPr/>
      </w:pPr>
      <w:r>
        <w:rPr/>
        <w:t>Grayscale filed its proposed rule change under the Securities Exchange Act of 1934 and Rule 19b-4 last January 30 for the listing of XRP ETFs. However, pundits argued that the SEC may defer its action on the proposal until the conclusion of the case it initiated against Ripple, which goes all the way back in 2020.</w:t>
      </w:r>
    </w:p>
    <w:p>
      <w:pPr>
        <w:pStyle w:val="BodyText"/>
        <w:rPr/>
      </w:pPr>
      <w:r>
        <w:rPr/>
        <w:t xml:space="preserve">Fast-forward to Thursday, the government securities watchdog interestingly </w:t>
      </w:r>
      <w:hyperlink r:id="rId3" w:tgtFrame="_blank">
        <w:r>
          <w:rPr>
            <w:rStyle w:val="Hyperlink"/>
          </w:rPr>
          <w:t>announced</w:t>
        </w:r>
      </w:hyperlink>
      <w:r>
        <w:rPr/>
        <w:t xml:space="preserve"> its receipt of the document in question. The acknowledgment now sets the wheels in motion for the regulator’s final verdict on Grayscale’s XRP ETF filing before the end of the current year or within 240 days. It also puts more pressure toward a decisive course of action in the SEC enforcement lawsuit against Ripple.</w:t>
      </w:r>
    </w:p>
    <w:p>
      <w:pPr>
        <w:pStyle w:val="BodyText"/>
        <w:rPr/>
      </w:pPr>
      <w:r>
        <w:rPr/>
        <w:t>Sherry Haywood, Assistant Secretary at the SEC, signed the notice of acceptance of the application. The notification also urged interested persons to send their written comments, including any relevant data, that would be crucial in the assessment of the ongoing rule change request. The submissions will undoubtedly raise matters related to the Ripple lawsuit.</w:t>
      </w:r>
    </w:p>
    <w:p>
      <w:pPr>
        <w:pStyle w:val="Heading2"/>
        <w:numPr>
          <w:ilvl w:val="1"/>
          <w:numId w:val="1"/>
        </w:numPr>
        <w:ind w:hanging="0" w:left="0"/>
        <w:rPr/>
      </w:pPr>
      <w:r>
        <w:rPr/>
        <w:t>Bullish Sentiment on XRP ETFs</w:t>
      </w:r>
    </w:p>
    <w:p>
      <w:pPr>
        <w:pStyle w:val="BodyText"/>
        <w:rPr/>
      </w:pPr>
      <w:r>
        <w:rPr/>
        <w:t>Previously, Bloomberg top analysts Eric Balchunas and James Seyffart agreed that XRP ETFs only have a 65% odds of approval. They opined that a primary roadblock to the SEC’s definitive ruling on them is its case against Ripple, which also questioned the lower court’s favorable ruling regarding the non-security categorization of XRP.</w:t>
      </w:r>
    </w:p>
    <w:p>
      <w:pPr>
        <w:pStyle w:val="BodyText"/>
        <w:rPr/>
      </w:pPr>
      <w:r>
        <w:rPr/>
        <w:t xml:space="preserve">Nonetheless, the crypto community viewed the SEC’s recent acknowledgment of the XRP ETF filing instead of outright rejecting it as a sign of its huge deal of consideration on the matter. Ripple CEO Brad Garlinghouse even </w:t>
      </w:r>
      <w:hyperlink r:id="rId4" w:tgtFrame="_blank">
        <w:r>
          <w:rPr>
            <w:rStyle w:val="Hyperlink"/>
          </w:rPr>
          <w:t>commented</w:t>
        </w:r>
      </w:hyperlink>
      <w:r>
        <w:rPr/>
        <w:t xml:space="preserve"> that the agency’s move is just a part of a predictable outcome—that is, the arrival of XRP ETFs.</w:t>
      </w:r>
    </w:p>
    <w:p>
      <w:pPr>
        <w:pStyle w:val="BodyText"/>
        <w:rPr/>
      </w:pPr>
      <w:r>
        <w:rPr/>
        <w:t>“</w:t>
      </w:r>
      <w:r>
        <w:rPr/>
        <w:t>I recall pointing out—more than once—that this was inevitable (despite some vocal assertions to the contrary),” said Garlinghouse on X.</w:t>
      </w:r>
    </w:p>
    <w:p>
      <w:pPr>
        <w:pStyle w:val="BodyText"/>
        <w:rPr/>
      </w:pPr>
      <w:r>
        <w:rPr/>
        <w:t xml:space="preserve">Feeding fuel to the sliver of hope was </w:t>
      </w:r>
      <w:hyperlink r:id="rId5" w:tgtFrame="_blank">
        <w:r>
          <w:rPr>
            <w:rStyle w:val="Hyperlink"/>
          </w:rPr>
          <w:t>Seyffart’s recent assertion</w:t>
        </w:r>
      </w:hyperlink>
      <w:r>
        <w:rPr/>
        <w:t xml:space="preserve"> that the previous SEC administration would have dismissed the XRP ETFs as it did with Solana ETFs in December. The acknowledgment slightly adds to the chances of its approval, in addition to the already favorable scenarios placed upon by the new crypto-friendly regime under US President Donald Trump and the current SEC leadership.</w:t>
      </w:r>
    </w:p>
    <w:p>
      <w:pPr>
        <w:pStyle w:val="Heading2"/>
        <w:numPr>
          <w:ilvl w:val="1"/>
          <w:numId w:val="1"/>
        </w:numPr>
        <w:ind w:hanging="0" w:left="0"/>
        <w:rPr/>
      </w:pPr>
      <w:r>
        <w:rPr/>
        <w:t>The Binance Maneuver</w:t>
      </w:r>
    </w:p>
    <w:p>
      <w:pPr>
        <w:pStyle w:val="BodyText"/>
        <w:spacing w:before="0" w:after="140"/>
        <w:rPr/>
      </w:pPr>
      <w:r>
        <w:rPr/>
        <w:t>This week, the SEC and Binance’s Joint Motion to stay their case for 60 days or upon release of the findings of the newly created SEC Crypto Task Force further boosted anticipation for the end of the Ripple case. It could create a precedent for the latter to employ the same maneuver in collaboration with the regulator. That way, the SEC could greenlight the XRP ETFs without any legal impediments.</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currencies/xrp/" TargetMode="External"/><Relationship Id="rId3" Type="http://schemas.openxmlformats.org/officeDocument/2006/relationships/hyperlink" Target="https://www.sec.gov/files/rules/sro/nysearca/2025/34-102420.pdf" TargetMode="External"/><Relationship Id="rId4" Type="http://schemas.openxmlformats.org/officeDocument/2006/relationships/hyperlink" Target="https://twitter.com/bgarlinghouse/status/1890163508203147304" TargetMode="External"/><Relationship Id="rId5" Type="http://schemas.openxmlformats.org/officeDocument/2006/relationships/hyperlink" Target="https://twitter.com/JSeyff/status/1890163448857932059"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193</TotalTime>
  <Application>LibreOffice/24.2.1.2$Windows_X86_64 LibreOffice_project/db4def46b0453cc22e2d0305797cf981b68ef5ac</Application>
  <AppVersion>15.0000</AppVersion>
  <Pages>2</Pages>
  <Words>553</Words>
  <Characters>2863</Characters>
  <CharactersWithSpaces>3400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2025-02-14T19:37:20Z</dcterms:created>
  <dc:creator/>
  <dc:description/>
  <dc:language>en-US</dc:language>
  <cp:lastModifiedBy/>
  <dcterms:modified xsi:type="dcterms:W3CDTF">2025-02-15T16:21:16Z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