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Heading1"/>
        <w:numPr>
          <w:ilvl w:val="0"/>
          <w:numId w:val="0"/>
        </w:numPr>
        <w:bidi w:val="0"/>
        <w:spacing w:before="240" w:after="120"/>
        <w:jc w:val="left"/>
        <w:rPr>
          <w:shd w:fill="auto" w:val="clear"/>
        </w:rPr>
      </w:pPr>
      <w:r>
        <w:rPr>
          <w:shd w:fill="auto" w:val="clear"/>
        </w:rPr>
        <w:t>WisdomTree Unveils Crypto ETP That Tracks The Coindesk 20 Index</w:t>
      </w:r>
    </w:p>
    <w:p>
      <w:pPr>
        <w:pStyle w:val="BodyText"/>
        <w:numPr>
          <w:ilvl w:val="0"/>
          <w:numId w:val="2"/>
        </w:numPr>
        <w:tabs>
          <w:tab w:val="clear" w:pos="709"/>
          <w:tab w:val="left" w:pos="709" w:leader="none"/>
        </w:tabs>
        <w:bidi w:val="0"/>
        <w:spacing w:before="0" w:after="0"/>
        <w:ind w:hanging="283" w:left="709" w:right="0"/>
        <w:jc w:val="left"/>
        <w:rPr/>
      </w:pPr>
      <w:r>
        <w:rPr>
          <w:rStyle w:val="Strong"/>
          <w:shd w:fill="auto" w:val="clear"/>
        </w:rPr>
        <w:t xml:space="preserve">The new WisdomTree crypto ETP references on the Coindesk 20, and it offers staking options. </w:t>
      </w:r>
    </w:p>
    <w:p>
      <w:pPr>
        <w:pStyle w:val="BodyText"/>
        <w:numPr>
          <w:ilvl w:val="0"/>
          <w:numId w:val="3"/>
        </w:numPr>
        <w:tabs>
          <w:tab w:val="clear" w:pos="709"/>
          <w:tab w:val="left" w:pos="709" w:leader="none"/>
        </w:tabs>
        <w:bidi w:val="0"/>
        <w:ind w:hanging="283" w:left="709"/>
        <w:jc w:val="left"/>
        <w:rPr/>
      </w:pPr>
      <w:r>
        <w:rPr>
          <w:rStyle w:val="Strong"/>
        </w:rPr>
        <w:t>The new investment product is now available in Germany, Switzerland, France, and the Netherlands.</w:t>
      </w:r>
      <w:r>
        <w:rPr/>
        <w:t xml:space="preserve"> </w:t>
      </w:r>
    </w:p>
    <w:p>
      <w:pPr>
        <w:pStyle w:val="BodyText"/>
        <w:bidi w:val="0"/>
        <w:jc w:val="left"/>
        <w:rPr/>
      </w:pPr>
      <w:r>
        <w:rPr/>
        <w:t>WisdomTree, the world-renowned exchange-traded funds (ETFs) and blockchain services provider, recently unveiled a new exchange-traded product (ETP) at a Hong Kong event. The financial instrument offers investors exposure to a basket of digital assets featured in the Coindesk 20 index.</w:t>
      </w:r>
    </w:p>
    <w:p>
      <w:pPr>
        <w:pStyle w:val="Heading2"/>
        <w:bidi w:val="0"/>
        <w:ind w:hanging="0" w:left="0"/>
        <w:jc w:val="left"/>
        <w:rPr/>
      </w:pPr>
      <w:r>
        <w:rPr/>
        <w:t>WisdomTree’s Coindesk 20-Based Crypto ETP</w:t>
      </w:r>
    </w:p>
    <w:p>
      <w:pPr>
        <w:pStyle w:val="BodyText"/>
        <w:bidi w:val="0"/>
        <w:jc w:val="left"/>
        <w:rPr/>
      </w:pPr>
      <w:r>
        <w:rPr/>
        <w:t>The Coindesk 20 Index debuted in January last year. Since then, it has become a key reference for investors in the cryptocurrency sector. In just a year, the index’s trading volume has increased by over $14 billion (€13.43 billion), with a 76.7% return.</w:t>
      </w:r>
    </w:p>
    <w:p>
      <w:pPr>
        <w:pStyle w:val="BodyText"/>
        <w:bidi w:val="0"/>
        <w:jc w:val="left"/>
        <w:rPr/>
      </w:pPr>
      <w:r>
        <w:rPr/>
        <w:t xml:space="preserve">According to an </w:t>
      </w:r>
      <w:hyperlink r:id="rId2" w:tgtFrame="_blank">
        <w:r>
          <w:rPr>
            <w:rStyle w:val="Hyperlink"/>
          </w:rPr>
          <w:t>announcement</w:t>
        </w:r>
      </w:hyperlink>
      <w:r>
        <w:rPr/>
        <w:t>, WisdomTree’s Physical CoinDesk 20 ETP (WCRP) works in a similar vein as the S&amp;P 500 and NASDAQ. However, it is only centered on institutional customers in Europe.</w:t>
      </w:r>
    </w:p>
    <w:p>
      <w:pPr>
        <w:pStyle w:val="BodyText"/>
        <w:bidi w:val="0"/>
        <w:jc w:val="left"/>
        <w:rPr/>
      </w:pPr>
      <w:r>
        <w:rPr/>
        <w:t>Alan Campbell, President of CoinDesk Indices, believes that the new crypto ETP is a defining moment for digital assets investing in Europe. Besides</w:t>
      </w:r>
      <w:hyperlink r:id="rId3" w:tgtFrame="_blank">
        <w:r>
          <w:rPr>
            <w:rStyle w:val="Hyperlink"/>
          </w:rPr>
          <w:t xml:space="preserve"> Bitcoin</w:t>
        </w:r>
      </w:hyperlink>
      <w:r>
        <w:rPr/>
        <w:t xml:space="preserve"> (BTC) exposure, the institutional-grade investment product also focuses on the best-performing altcoins.</w:t>
      </w:r>
    </w:p>
    <w:p>
      <w:pPr>
        <w:pStyle w:val="BodyText"/>
        <w:bidi w:val="0"/>
        <w:jc w:val="left"/>
        <w:rPr/>
      </w:pPr>
      <w:r>
        <w:rPr/>
        <w:t>In addition to tracking down the prices of the virtual assets included in Coindesk 20, WCRP offers staking yields for customers. This incentivizes market participants to lock up their assets to help drive the liquidity, security, and performance of the ETPs as well as their underlying blockchain ecosystems.</w:t>
      </w:r>
    </w:p>
    <w:p>
      <w:pPr>
        <w:pStyle w:val="BodyText"/>
        <w:bidi w:val="0"/>
        <w:jc w:val="left"/>
        <w:rPr/>
      </w:pPr>
      <w:r>
        <w:rPr/>
        <w:t>So far, US-based spot crypto ETFs lack staking features. However, there have been several filings for amendments in the US Securities and Exchange Commission’s (SEC) rulebook to allow these investment products to incorporate staking.</w:t>
      </w:r>
    </w:p>
    <w:p>
      <w:pPr>
        <w:pStyle w:val="BodyText"/>
        <w:bidi w:val="0"/>
        <w:jc w:val="left"/>
        <w:rPr/>
      </w:pPr>
      <w:r>
        <w:rPr/>
        <w:t>The WCRP trades at Deutsche Börse Xetra, the SIX Swiss Stock Exchange, and Euronext exchanges in Paris and Amsterdam.</w:t>
      </w:r>
    </w:p>
    <w:p>
      <w:pPr>
        <w:pStyle w:val="BodyText"/>
        <w:bidi w:val="0"/>
        <w:jc w:val="left"/>
        <w:rPr/>
      </w:pPr>
      <w:r>
        <w:rPr/>
        <w:t>As of last month, there were already 130 crypto ETPs in Europe coming from 17 providers. During that period, the assets under management (AUM) within these products have grown to $16 billion (€15.34 billion).</w:t>
      </w:r>
    </w:p>
    <w:p>
      <w:pPr>
        <w:pStyle w:val="Heading2"/>
        <w:bidi w:val="0"/>
        <w:ind w:hanging="0" w:left="0"/>
        <w:jc w:val="left"/>
        <w:rPr/>
      </w:pPr>
      <w:r>
        <w:rPr/>
        <w:t>US Spot Bitcoin and Ethereum ETFs</w:t>
      </w:r>
    </w:p>
    <w:p>
      <w:pPr>
        <w:pStyle w:val="BodyText"/>
        <w:bidi w:val="0"/>
        <w:jc w:val="left"/>
        <w:rPr/>
      </w:pPr>
      <w:r>
        <w:rPr/>
        <w:t xml:space="preserve">In the US, there are only two crypto ETFs available, with others still pending review under the SEC. To date, spot Bitcoin ETFs in the country have already accumulated over $40.065 billion in total net inflows based on </w:t>
      </w:r>
      <w:hyperlink r:id="rId4" w:tgtFrame="_blank">
        <w:r>
          <w:rPr>
            <w:rStyle w:val="Hyperlink"/>
          </w:rPr>
          <w:t>Farside Investors</w:t>
        </w:r>
      </w:hyperlink>
      <w:r>
        <w:rPr/>
        <w:t xml:space="preserve"> data.</w:t>
      </w:r>
    </w:p>
    <w:p>
      <w:pPr>
        <w:pStyle w:val="BodyText"/>
        <w:bidi w:val="0"/>
        <w:jc w:val="left"/>
        <w:rPr/>
      </w:pPr>
      <w:r>
        <w:rPr/>
        <w:t>The most successful product by far was Blackrock’s iShares Bitcoin Trust ETF, which contributed more than $40.969 billion in market net inflows. Fidelity Investment trailed Blackrock in second place, accounting for $12.481 billion in net inflows. As of writing, all other market participants have shown positive net inflows, except Grayscale, which carries a negative $22.103 billion net inflow.</w:t>
      </w:r>
    </w:p>
    <w:p>
      <w:pPr>
        <w:pStyle w:val="BodyText"/>
        <w:bidi w:val="0"/>
        <w:spacing w:before="0" w:after="140"/>
        <w:jc w:val="left"/>
        <w:rPr/>
      </w:pPr>
      <w:r>
        <w:rPr/>
        <w:t xml:space="preserve">Meanwhile, </w:t>
      </w:r>
      <w:hyperlink r:id="rId5" w:tgtFrame="_blank">
        <w:r>
          <w:rPr>
            <w:rStyle w:val="Hyperlink"/>
          </w:rPr>
          <w:t>Ethereum</w:t>
        </w:r>
      </w:hyperlink>
      <w:r>
        <w:rPr/>
        <w:t xml:space="preserve"> (ETH) ETFs continue to play catch up with their Bitcoin counterparts. At present, the eight institutions offering them have already amassed around </w:t>
      </w:r>
      <w:hyperlink r:id="rId6" w:tgtFrame="_blank">
        <w:r>
          <w:rPr>
            <w:rStyle w:val="Hyperlink"/>
          </w:rPr>
          <w:t>$3.16 billion in total net inflows</w:t>
        </w:r>
      </w:hyperlink>
      <w:r>
        <w:rPr/>
        <w:t>.</w:t>
      </w:r>
    </w:p>
    <w:sectPr>
      <w:type w:val="nextPage"/>
      <w:pgSz w:w="11906" w:h="16838"/>
      <w:pgMar w:left="1134" w:right="1134" w:gutter="0" w:header="0" w:top="1134" w:footer="0" w:bottom="1134"/>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OpenSymbol">
    <w:altName w:val="Arial Unicode MS"/>
    <w:charset w:val="02"/>
    <w:family w:val="auto"/>
    <w:pitch w:val="default"/>
  </w:font>
  <w:font w:name="Liberation Sans">
    <w:altName w:val="Arial"/>
    <w:charset w:val="00"/>
    <w:family w:val="swiss"/>
    <w:pitch w:val="variable"/>
  </w:font>
  <w:font w:name="Symbol">
    <w:charset w:val="02"/>
    <w:family w:val="auto"/>
    <w:pitch w:val="default"/>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pStyle w:val="Heading1"/>
      <w:numFmt w:val="none"/>
      <w:suff w:val="nothing"/>
      <w:lvlText w:val=""/>
      <w:lvlJc w:val="left"/>
      <w:pPr>
        <w:tabs>
          <w:tab w:val="num" w:pos="0"/>
        </w:tabs>
        <w:ind w:left="0" w:hanging="0"/>
      </w:pPr>
    </w:lvl>
    <w:lvl w:ilvl="1">
      <w:start w:val="1"/>
      <w:pStyle w:val="Heading2"/>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2">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3">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90"/>
  <w:defaultTabStop w:val="709"/>
  <w:autoHyphenation w:val="true"/>
  <w:compat>
    <w:compatSetting w:name="compatibilityMode" w:uri="http://schemas.microsoft.com/office/word" w:val="12"/>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en-US" w:eastAsia="zh-CN" w:bidi="hi-IN"/>
      </w:rPr>
    </w:rPrDefault>
    <w:pPrDefault>
      <w:pPr>
        <w:widowControl/>
        <w:suppressAutoHyphens w:val="true"/>
      </w:pPr>
    </w:pPrDefault>
  </w:docDefaults>
  <w:style w:type="paragraph" w:styleId="Normal">
    <w:name w:val="Normal"/>
    <w:qFormat/>
    <w:pPr>
      <w:widowControl/>
      <w:bidi w:val="0"/>
    </w:pPr>
    <w:rPr>
      <w:rFonts w:ascii="Liberation Serif" w:hAnsi="Liberation Serif" w:eastAsia="NSimSun" w:cs="Lucida Sans"/>
      <w:color w:val="auto"/>
      <w:kern w:val="2"/>
      <w:sz w:val="24"/>
      <w:szCs w:val="24"/>
      <w:lang w:val="en-US" w:eastAsia="zh-CN" w:bidi="hi-IN"/>
    </w:rPr>
  </w:style>
  <w:style w:type="paragraph" w:styleId="Heading1">
    <w:name w:val="Heading 1"/>
    <w:basedOn w:val="Heading"/>
    <w:next w:val="BodyText"/>
    <w:qFormat/>
    <w:pPr>
      <w:numPr>
        <w:ilvl w:val="0"/>
        <w:numId w:val="1"/>
      </w:numPr>
      <w:spacing w:before="240" w:after="120"/>
      <w:outlineLvl w:val="0"/>
    </w:pPr>
    <w:rPr>
      <w:b/>
      <w:bCs/>
      <w:sz w:val="36"/>
      <w:szCs w:val="36"/>
    </w:rPr>
  </w:style>
  <w:style w:type="paragraph" w:styleId="Heading2">
    <w:name w:val="Heading 2"/>
    <w:basedOn w:val="Heading"/>
    <w:next w:val="BodyText"/>
    <w:qFormat/>
    <w:pPr>
      <w:numPr>
        <w:ilvl w:val="1"/>
        <w:numId w:val="1"/>
      </w:numPr>
      <w:spacing w:before="200" w:after="120"/>
      <w:outlineLvl w:val="1"/>
    </w:pPr>
    <w:rPr>
      <w:b/>
      <w:bCs/>
      <w:sz w:val="32"/>
      <w:szCs w:val="32"/>
    </w:rPr>
  </w:style>
  <w:style w:type="character" w:styleId="Hyperlink">
    <w:name w:val="Hyperlink"/>
    <w:rPr>
      <w:color w:val="000080"/>
      <w:u w:val="single"/>
    </w:rPr>
  </w:style>
  <w:style w:type="character" w:styleId="Bullets">
    <w:name w:val="Bullets"/>
    <w:qFormat/>
    <w:rPr>
      <w:rFonts w:ascii="OpenSymbol" w:hAnsi="OpenSymbol" w:eastAsia="OpenSymbol" w:cs="OpenSymbol"/>
    </w:rPr>
  </w:style>
  <w:style w:type="character" w:styleId="Strong">
    <w:name w:val="Strong"/>
    <w:qFormat/>
    <w:rPr>
      <w:b/>
      <w:bCs/>
    </w:rPr>
  </w:style>
  <w:style w:type="paragraph" w:styleId="Heading">
    <w:name w:val="Heading"/>
    <w:basedOn w:val="Normal"/>
    <w:next w:val="BodyText"/>
    <w:qFormat/>
    <w:pPr>
      <w:keepNext w:val="true"/>
      <w:spacing w:before="240" w:after="120"/>
    </w:pPr>
    <w:rPr>
      <w:rFonts w:ascii="Liberation Sans" w:hAnsi="Liberation Sans" w:eastAsia="Microsoft YaHei" w:cs="Lucida Sans"/>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www.coindesk.com/markets/2025/02/19/wisdomtree-launches-etp-based-on-coindesk-20" TargetMode="External"/><Relationship Id="rId3" Type="http://schemas.openxmlformats.org/officeDocument/2006/relationships/hyperlink" Target="https://blockzeit.com/currencies/bitcoin/" TargetMode="External"/><Relationship Id="rId4" Type="http://schemas.openxmlformats.org/officeDocument/2006/relationships/hyperlink" Target="https://farside.co.uk/btc/" TargetMode="External"/><Relationship Id="rId5" Type="http://schemas.openxmlformats.org/officeDocument/2006/relationships/hyperlink" Target="https://blockzeit.com/currencies/ethereum/" TargetMode="External"/><Relationship Id="rId6" Type="http://schemas.openxmlformats.org/officeDocument/2006/relationships/hyperlink" Target="https://farside.co.uk/eth/" TargetMode="External"/><Relationship Id="rId7" Type="http://schemas.openxmlformats.org/officeDocument/2006/relationships/numbering" Target="numbering.xml"/><Relationship Id="rId8" Type="http://schemas.openxmlformats.org/officeDocument/2006/relationships/fontTable" Target="fontTable.xml"/><Relationship Id="rId9" Type="http://schemas.openxmlformats.org/officeDocument/2006/relationships/settings" Target="settings.xml"/><Relationship Id="rId10"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
  <TotalTime>1</TotalTime>
  <Application>LibreOffice/24.2.1.2$Windows_X86_64 LibreOffice_project/db4def46b0453cc22e2d0305797cf981b68ef5ac</Application>
  <AppVersion>15.0000</AppVersion>
  <Pages>2</Pages>
  <Words>466</Words>
  <Characters>2574</Characters>
  <CharactersWithSpaces>3024</CharactersWithSpaces>
  <Paragraphs>16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2025-02-19T19:38:45Z</dcterms:created>
  <dc:creator/>
  <dc:description/>
  <dc:language>en-US</dc:language>
  <cp:lastModifiedBy/>
  <dcterms:modified xsi:type="dcterms:W3CDTF">2025-02-19T20:42:16Z</dcterms:modified>
  <cp:revision>2</cp:revision>
  <dc:subject/>
  <dc:title/>
</cp:coreProperties>
</file>