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Heading1"/>
        <w:bidi w:val="0"/>
        <w:spacing w:before="240" w:after="120"/>
        <w:ind w:hanging="0" w:left="0" w:right="0"/>
        <w:jc w:val="left"/>
        <w:rPr>
          <w:shd w:fill="auto" w:val="clear"/>
        </w:rPr>
      </w:pPr>
      <w:r>
        <w:rPr>
          <w:shd w:fill="auto" w:val="clear"/>
        </w:rPr>
        <w:t>Tether Seeks 51% Control Of South American Power Producer</w:t>
      </w:r>
    </w:p>
    <w:p>
      <w:pPr>
        <w:pStyle w:val="BodyText"/>
        <w:numPr>
          <w:ilvl w:val="0"/>
          <w:numId w:val="2"/>
        </w:numPr>
        <w:tabs>
          <w:tab w:val="clear" w:pos="709"/>
          <w:tab w:val="left" w:pos="709" w:leader="none"/>
        </w:tabs>
        <w:bidi w:val="0"/>
        <w:ind w:hanging="283" w:left="709" w:right="0"/>
        <w:jc w:val="left"/>
        <w:rPr/>
      </w:pPr>
      <w:r>
        <w:rPr>
          <w:rStyle w:val="Strong"/>
          <w:shd w:fill="auto" w:val="clear"/>
        </w:rPr>
        <w:t xml:space="preserve">Tether vies to increase its stake in South America’s largest agro-industrial power producer to 51%. </w:t>
      </w:r>
    </w:p>
    <w:p>
      <w:pPr>
        <w:pStyle w:val="BodyText"/>
        <w:bidi w:val="0"/>
        <w:jc w:val="left"/>
        <w:rPr/>
      </w:pPr>
      <w:hyperlink r:id="rId2" w:tgtFrame="_blank">
        <w:r>
          <w:rPr>
            <w:rStyle w:val="Hyperlink"/>
          </w:rPr>
          <w:t>Tether</w:t>
        </w:r>
      </w:hyperlink>
      <w:r>
        <w:rPr/>
        <w:t>, the issuer of USDT, proposed increasing its stake within a South American energy producer. Today, Adecoagro revealed that its Board of Directors received an “unsolicited non-binding proposal” from the stablecoin giant on February 14 to discuss the acquisition.</w:t>
      </w:r>
    </w:p>
    <w:p>
      <w:pPr>
        <w:pStyle w:val="Heading2"/>
        <w:bidi w:val="0"/>
        <w:ind w:hanging="0" w:left="0"/>
        <w:jc w:val="left"/>
        <w:rPr/>
      </w:pPr>
      <w:r>
        <w:rPr/>
        <w:t>Tether Eyes 51% Takeover in Adecoagro</w:t>
      </w:r>
    </w:p>
    <w:p>
      <w:pPr>
        <w:pStyle w:val="BodyText"/>
        <w:bidi w:val="0"/>
        <w:jc w:val="left"/>
        <w:rPr/>
      </w:pPr>
      <w:r>
        <w:rPr/>
        <w:t xml:space="preserve">In a </w:t>
      </w:r>
      <w:hyperlink r:id="rId3" w:tgtFrame="_blank">
        <w:r>
          <w:rPr>
            <w:rStyle w:val="Hyperlink"/>
          </w:rPr>
          <w:t>press release</w:t>
        </w:r>
      </w:hyperlink>
      <w:r>
        <w:rPr/>
        <w:t>, Adecoagro said that Tether sought to increase its outstanding Common Shares holdings within the power company to 51%. The USDT issuer offered a $12.41 per share price for each common stock of the firm.</w:t>
      </w:r>
    </w:p>
    <w:p>
      <w:pPr>
        <w:pStyle w:val="BodyText"/>
        <w:bidi w:val="0"/>
        <w:jc w:val="left"/>
        <w:rPr/>
      </w:pPr>
      <w:r>
        <w:rPr/>
        <w:t>Adecoagro didn’t mention the exact amount of shares Tether currently held. However, it noted that the stablecoin company already bought 19.4% of its shares.</w:t>
      </w:r>
    </w:p>
    <w:p>
      <w:pPr>
        <w:pStyle w:val="BodyText"/>
        <w:bidi w:val="0"/>
        <w:jc w:val="left"/>
        <w:rPr/>
      </w:pPr>
      <w:r>
        <w:rPr/>
        <w:t>On February 16, the Southern American firm’s Board held a meeting to talk about the terms and conditions of Tether’s proposal. So far, they have yet to arrive at a decision on the subject.</w:t>
      </w:r>
    </w:p>
    <w:p>
      <w:pPr>
        <w:pStyle w:val="BodyText"/>
        <w:bidi w:val="0"/>
        <w:jc w:val="left"/>
        <w:rPr/>
      </w:pPr>
      <w:r>
        <w:rPr/>
        <w:t>Adecoagro claimed it would have to consult its legal and financial advisors first regarding the matter. That way, it would ensure that the resolution of the proposal would be in the best interest of the company and the rest of its shareholders.</w:t>
      </w:r>
    </w:p>
    <w:p>
      <w:pPr>
        <w:pStyle w:val="BodyText"/>
        <w:bidi w:val="0"/>
        <w:jc w:val="left"/>
        <w:rPr/>
      </w:pPr>
      <w:r>
        <w:rPr/>
        <w:t>For now, the company does not require its stockholders to act on the issue.</w:t>
      </w:r>
    </w:p>
    <w:p>
      <w:pPr>
        <w:pStyle w:val="Heading2"/>
        <w:bidi w:val="0"/>
        <w:ind w:hanging="0" w:left="0"/>
        <w:jc w:val="left"/>
        <w:rPr/>
      </w:pPr>
      <w:r>
        <w:rPr/>
        <w:t>About the Parties Involved</w:t>
      </w:r>
    </w:p>
    <w:p>
      <w:pPr>
        <w:pStyle w:val="BodyText"/>
        <w:bidi w:val="0"/>
        <w:jc w:val="left"/>
        <w:rPr/>
      </w:pPr>
      <w:hyperlink r:id="rId4" w:tgtFrame="_blank">
        <w:r>
          <w:rPr>
            <w:rStyle w:val="Hyperlink"/>
          </w:rPr>
          <w:t>Adecoagro</w:t>
        </w:r>
      </w:hyperlink>
      <w:r>
        <w:rPr/>
        <w:t xml:space="preserve"> is an agro-industrial company that centers on the production of food and the generation of renewable energy. It was founded in 2002 in Argentina and began its expansion in Uruguay and Brazil in 2004.</w:t>
      </w:r>
    </w:p>
    <w:p>
      <w:pPr>
        <w:pStyle w:val="BodyText"/>
        <w:bidi w:val="0"/>
        <w:jc w:val="left"/>
        <w:rPr/>
      </w:pPr>
      <w:r>
        <w:rPr/>
        <w:t>The company owns around 210,400 hectares of farmland. From there, it produces over 2.8 million tons of agricultural products and generates more than 1 million MWh of renewable electricity. It also boasts a $1.1 billion market cap.</w:t>
      </w:r>
    </w:p>
    <w:p>
      <w:pPr>
        <w:pStyle w:val="BodyText"/>
        <w:bidi w:val="0"/>
        <w:jc w:val="left"/>
        <w:rPr/>
      </w:pPr>
      <w:r>
        <w:rPr/>
        <w:t xml:space="preserve">Tether, the leading stablecoin issuer in the world, began in 2024. Since then, it has grown into a market cap of over $141 billion. According to </w:t>
      </w:r>
      <w:hyperlink r:id="rId5" w:tgtFrame="_blank">
        <w:r>
          <w:rPr>
            <w:rStyle w:val="Hyperlink"/>
          </w:rPr>
          <w:t>Token Terminal</w:t>
        </w:r>
      </w:hyperlink>
      <w:r>
        <w:rPr/>
        <w:t>, it has a 75% dominance in the stablecoin market.</w:t>
      </w:r>
    </w:p>
    <w:p>
      <w:pPr>
        <w:pStyle w:val="Heading2"/>
        <w:bidi w:val="0"/>
        <w:ind w:hanging="0" w:left="0"/>
        <w:jc w:val="left"/>
        <w:rPr/>
      </w:pPr>
      <w:r>
        <w:rPr/>
        <w:t>Reason for the Proposed Purchase</w:t>
      </w:r>
    </w:p>
    <w:p>
      <w:pPr>
        <w:pStyle w:val="BodyText"/>
        <w:bidi w:val="0"/>
        <w:jc w:val="left"/>
        <w:rPr/>
      </w:pPr>
      <w:r>
        <w:rPr/>
        <w:t xml:space="preserve">Tether and Adecoagro have remained mum on the nature of the proposal, triggering plenty of speculations about the stablecoin company’s intent. All we have for now is </w:t>
      </w:r>
      <w:hyperlink r:id="rId6" w:tgtFrame="_blank">
        <w:r>
          <w:rPr>
            <w:rStyle w:val="Hyperlink"/>
          </w:rPr>
          <w:t>Tether CEO Paolo Ardoino’s caption</w:t>
        </w:r>
      </w:hyperlink>
      <w:r>
        <w:rPr/>
        <w:t xml:space="preserve"> on a report related to the proposed acquisition, saying, “Make Agriculture Great Again.”</w:t>
      </w:r>
    </w:p>
    <w:p>
      <w:pPr>
        <w:pStyle w:val="BodyText"/>
        <w:bidi w:val="0"/>
        <w:spacing w:before="0" w:after="140"/>
        <w:jc w:val="left"/>
        <w:rPr/>
      </w:pPr>
      <w:r>
        <w:rPr/>
        <w:t xml:space="preserve">The news comes hot on the heels of </w:t>
      </w:r>
      <w:hyperlink r:id="rId7" w:tgtFrame="_blank">
        <w:r>
          <w:rPr>
            <w:rStyle w:val="Hyperlink"/>
          </w:rPr>
          <w:t>Tether’s Memorandum of Understanding (MoU) with the government of the Republic of Guinea</w:t>
        </w:r>
      </w:hyperlink>
      <w:r>
        <w:rPr/>
        <w:t>. The latest strategic cooperation aimed to boost blockchain adoption and innovation within the African country’s jurisdiction.</w:t>
      </w:r>
    </w:p>
    <w:sectPr>
      <w:type w:val="nextPage"/>
      <w:pgSz w:w="11906" w:h="16838"/>
      <w:pgMar w:left="1134" w:right="1134" w:gutter="0" w:header="0" w:top="1134" w:footer="0" w:bottom="1134"/>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OpenSymbol">
    <w:altName w:val="Arial Unicode MS"/>
    <w:charset w:val="02"/>
    <w:family w:val="auto"/>
    <w:pitch w:val="default"/>
  </w:font>
  <w:font w:name="Liberation Sans">
    <w:altName w:val="Arial"/>
    <w:charset w:val="00"/>
    <w:family w:val="swiss"/>
    <w:pitch w:val="variable"/>
  </w:font>
  <w:font w:name="Symbol">
    <w:charset w:val="02"/>
    <w:family w:val="auto"/>
    <w:pitch w:val="default"/>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pStyle w:val="Heading1"/>
      <w:numFmt w:val="none"/>
      <w:suff w:val="nothing"/>
      <w:lvlText w:val=""/>
      <w:lvlJc w:val="left"/>
      <w:pPr>
        <w:tabs>
          <w:tab w:val="num" w:pos="0"/>
        </w:tabs>
        <w:ind w:left="0" w:hanging="0"/>
      </w:pPr>
    </w:lvl>
    <w:lvl w:ilvl="1">
      <w:start w:val="1"/>
      <w:pStyle w:val="Heading2"/>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abstractNum w:abstractNumId="2">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num w:numId="1">
    <w:abstractNumId w:val="1"/>
  </w:num>
  <w:num w:numId="2">
    <w:abstractNumId w:val="2"/>
  </w:num>
</w:numbering>
</file>

<file path=word/settings.xml><?xml version="1.0" encoding="utf-8"?>
<w:settings xmlns:w="http://schemas.openxmlformats.org/wordprocessingml/2006/main">
  <w:zoom w:percent="90"/>
  <w:defaultTabStop w:val="709"/>
  <w:autoHyphenation w:val="true"/>
  <w:compat>
    <w:compatSetting w:name="compatibilityMode" w:uri="http://schemas.microsoft.com/office/word" w:val="12"/>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en-US" w:eastAsia="zh-CN" w:bidi="hi-IN"/>
      </w:rPr>
    </w:rPrDefault>
    <w:pPrDefault>
      <w:pPr>
        <w:widowControl/>
        <w:suppressAutoHyphens w:val="true"/>
      </w:pPr>
    </w:pPrDefault>
  </w:docDefaults>
  <w:style w:type="paragraph" w:styleId="Normal">
    <w:name w:val="Normal"/>
    <w:qFormat/>
    <w:pPr>
      <w:widowControl/>
      <w:bidi w:val="0"/>
    </w:pPr>
    <w:rPr>
      <w:rFonts w:ascii="Liberation Serif" w:hAnsi="Liberation Serif" w:eastAsia="NSimSun" w:cs="Lucida Sans"/>
      <w:color w:val="auto"/>
      <w:kern w:val="2"/>
      <w:sz w:val="24"/>
      <w:szCs w:val="24"/>
      <w:lang w:val="en-US" w:eastAsia="zh-CN" w:bidi="hi-IN"/>
    </w:rPr>
  </w:style>
  <w:style w:type="paragraph" w:styleId="Heading1">
    <w:name w:val="Heading 1"/>
    <w:basedOn w:val="Heading"/>
    <w:next w:val="BodyText"/>
    <w:qFormat/>
    <w:pPr>
      <w:numPr>
        <w:ilvl w:val="0"/>
        <w:numId w:val="1"/>
      </w:numPr>
      <w:spacing w:before="240" w:after="120"/>
      <w:outlineLvl w:val="0"/>
    </w:pPr>
    <w:rPr>
      <w:b/>
      <w:bCs/>
      <w:sz w:val="36"/>
      <w:szCs w:val="36"/>
    </w:rPr>
  </w:style>
  <w:style w:type="paragraph" w:styleId="Heading2">
    <w:name w:val="Heading 2"/>
    <w:basedOn w:val="Heading"/>
    <w:next w:val="BodyText"/>
    <w:qFormat/>
    <w:pPr>
      <w:numPr>
        <w:ilvl w:val="1"/>
        <w:numId w:val="1"/>
      </w:numPr>
      <w:spacing w:before="200" w:after="120"/>
      <w:outlineLvl w:val="1"/>
    </w:pPr>
    <w:rPr>
      <w:b/>
      <w:bCs/>
      <w:sz w:val="32"/>
      <w:szCs w:val="32"/>
    </w:rPr>
  </w:style>
  <w:style w:type="character" w:styleId="Hyperlink">
    <w:name w:val="Hyperlink"/>
    <w:rPr>
      <w:color w:val="000080"/>
      <w:u w:val="single"/>
    </w:rPr>
  </w:style>
  <w:style w:type="character" w:styleId="Bullets">
    <w:name w:val="Bullets"/>
    <w:qFormat/>
    <w:rPr>
      <w:rFonts w:ascii="OpenSymbol" w:hAnsi="OpenSymbol" w:eastAsia="OpenSymbol" w:cs="OpenSymbol"/>
    </w:rPr>
  </w:style>
  <w:style w:type="character" w:styleId="Strong">
    <w:name w:val="Strong"/>
    <w:qFormat/>
    <w:rPr>
      <w:b/>
      <w:bCs/>
    </w:rPr>
  </w:style>
  <w:style w:type="paragraph" w:styleId="Heading">
    <w:name w:val="Heading"/>
    <w:basedOn w:val="Normal"/>
    <w:next w:val="BodyText"/>
    <w:qFormat/>
    <w:pPr>
      <w:keepNext w:val="true"/>
      <w:spacing w:before="240" w:after="120"/>
    </w:pPr>
    <w:rPr>
      <w:rFonts w:ascii="Liberation Sans" w:hAnsi="Liberation Sans" w:eastAsia="Microsoft YaHei" w:cs="Lucida Sans"/>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blockzeit.com/currencies/tether/" TargetMode="External"/><Relationship Id="rId3" Type="http://schemas.openxmlformats.org/officeDocument/2006/relationships/hyperlink" Target="https://www.prnewswire.com/news-releases/adecoagro-announces-receipt-of-unsolicited-proposal-302378835.html" TargetMode="External"/><Relationship Id="rId4" Type="http://schemas.openxmlformats.org/officeDocument/2006/relationships/hyperlink" Target="https://www.adecoagro.com/us" TargetMode="External"/><Relationship Id="rId5" Type="http://schemas.openxmlformats.org/officeDocument/2006/relationships/hyperlink" Target="https://tokenterminal.com/explorer/projects/tether" TargetMode="External"/><Relationship Id="rId6" Type="http://schemas.openxmlformats.org/officeDocument/2006/relationships/hyperlink" Target="https://twitter.com/paoloardoino/status/1891862305240908281" TargetMode="External"/><Relationship Id="rId7" Type="http://schemas.openxmlformats.org/officeDocument/2006/relationships/hyperlink" Target="https://tether.io/news/tether-signs-mou-with-the-republic-of-guinea-to-accelerate-digital-transformation-and-economic-growth-through-blockchain-technology/" TargetMode="Externa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
  <TotalTime>3</TotalTime>
  <Application>LibreOffice/24.2.1.2$Windows_X86_64 LibreOffice_project/db4def46b0453cc22e2d0305797cf981b68ef5ac</Application>
  <AppVersion>15.0000</AppVersion>
  <Pages>2</Pages>
  <Words>422</Words>
  <Characters>2186</Characters>
  <CharactersWithSpaces>2592</CharactersWithSpaces>
  <Paragraphs>16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2025-02-18T22:26:54Z</dcterms:created>
  <dc:creator/>
  <dc:description/>
  <dc:language>en-US</dc:language>
  <cp:lastModifiedBy/>
  <dcterms:modified xsi:type="dcterms:W3CDTF">2025-02-18T23:26:54Z</dcterms:modified>
  <cp:revision>1</cp:revision>
  <dc:subject/>
  <dc:title/>
</cp:coreProperties>
</file>