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Heading1"/>
        <w:numPr>
          <w:ilvl w:val="0"/>
          <w:numId w:val="1"/>
        </w:numPr>
        <w:bidi w:val="0"/>
        <w:spacing w:before="240" w:after="120"/>
        <w:ind w:hanging="0" w:left="0"/>
        <w:jc w:val="left"/>
        <w:rPr/>
      </w:pPr>
      <w:r>
        <w:rPr/>
        <w:t>SIX Launches Crypto Collateral Management Service</w:t>
      </w:r>
    </w:p>
    <w:p>
      <w:pPr>
        <w:pStyle w:val="BodyText"/>
        <w:numPr>
          <w:ilvl w:val="0"/>
          <w:numId w:val="2"/>
        </w:numPr>
        <w:bidi w:val="0"/>
        <w:jc w:val="left"/>
        <w:rPr/>
      </w:pPr>
      <w:r>
        <w:rPr>
          <w:rStyle w:val="Strong"/>
        </w:rPr>
        <w:t>SIX unveiled its Digital Collateral Service (DCS) platform, catering to institutions that want to post crypto as collateral.</w:t>
      </w:r>
      <w:r>
        <w:rPr/>
        <w:t xml:space="preserve"> </w:t>
      </w:r>
    </w:p>
    <w:p>
      <w:pPr>
        <w:pStyle w:val="BodyText"/>
        <w:rPr/>
      </w:pPr>
      <w:r>
        <w:rPr/>
        <w:t>SIX continues to position itself as a trailblazer in financial innovation. On February 12, the Swiss exchange launched the Digital Collateral Service (DCS) to allow institutions to post cryptocurrencies as collateral together with traditional assets.</w:t>
      </w:r>
    </w:p>
    <w:p>
      <w:pPr>
        <w:pStyle w:val="Heading2"/>
        <w:rPr/>
      </w:pPr>
      <w:r>
        <w:rPr/>
        <w:t>Introducing the New SIX Crypto Collateral Service</w:t>
      </w:r>
    </w:p>
    <w:p>
      <w:pPr>
        <w:pStyle w:val="BodyText"/>
        <w:rPr/>
      </w:pPr>
      <w:r>
        <w:rPr/>
        <w:t xml:space="preserve">According to the SIX Group’s </w:t>
      </w:r>
      <w:hyperlink r:id="rId2" w:tgtFrame="_blank">
        <w:r>
          <w:rPr>
            <w:rStyle w:val="Hyperlink"/>
          </w:rPr>
          <w:t>press release</w:t>
        </w:r>
      </w:hyperlink>
      <w:r>
        <w:rPr/>
        <w:t>, the solution streamlines the management of traditional securities and crypto collateral. The platform leverages SIX’s specialization in international custody business as well as the SDX’s (SIX Digital Exchange) expertise in blockchain technology and digital assets.</w:t>
      </w:r>
    </w:p>
    <w:p>
      <w:pPr>
        <w:pStyle w:val="BodyText"/>
        <w:rPr/>
      </w:pPr>
      <w:r>
        <w:rPr/>
        <w:t xml:space="preserve">As an example, customers managing both </w:t>
      </w:r>
      <w:hyperlink r:id="rId3" w:tgtFrame="_blank">
        <w:r>
          <w:rPr>
            <w:rStyle w:val="Hyperlink"/>
          </w:rPr>
          <w:t>Bitcoin</w:t>
        </w:r>
      </w:hyperlink>
      <w:r>
        <w:rPr/>
        <w:t xml:space="preserve"> (BTC) and bonds can combine the posting of the two assets as collateral to cover a single exposure. The process simplifies operations for traders and their counterparts while improving portfolio management efficiency and mitigating counterparty risks.</w:t>
      </w:r>
    </w:p>
    <w:p>
      <w:pPr>
        <w:pStyle w:val="BodyText"/>
        <w:rPr/>
      </w:pPr>
      <w:r>
        <w:rPr/>
        <w:t xml:space="preserve">In addition, the </w:t>
      </w:r>
      <w:hyperlink r:id="rId4" w:tgtFrame="_blank">
        <w:r>
          <w:rPr>
            <w:rStyle w:val="Hyperlink"/>
          </w:rPr>
          <w:t>SDX</w:t>
        </w:r>
      </w:hyperlink>
      <w:r>
        <w:rPr/>
        <w:t xml:space="preserve"> offers an extra layer of security on top of the DCS system’s default protection protocols. The added security ensures the safeguarding of industry-grade data and assets to boost the trust and confidence of clients.</w:t>
      </w:r>
    </w:p>
    <w:p>
      <w:pPr>
        <w:pStyle w:val="Heading2"/>
        <w:rPr/>
      </w:pPr>
      <w:r>
        <w:rPr/>
        <w:t>Official Remarks of SIX and SDX Heads</w:t>
      </w:r>
    </w:p>
    <w:p>
      <w:pPr>
        <w:pStyle w:val="BodyText"/>
        <w:rPr/>
      </w:pPr>
      <w:r>
        <w:rPr/>
        <w:t>David Newns, Head of SDX, believes crypto will play a larger role in collateral management in the future. He claimed the DCS paves the way for financial institutions to adopt crypto-based collateral on a bigger scale and increase their involvement in crypto trading activities.</w:t>
      </w:r>
    </w:p>
    <w:p>
      <w:pPr>
        <w:pStyle w:val="BodyText"/>
        <w:rPr/>
      </w:pPr>
      <w:r>
        <w:rPr/>
        <w:t>“</w:t>
      </w:r>
      <w:r>
        <w:rPr/>
        <w:t>The role of cryptocurrencies in collateral management will become increasingly important,” said Newns. “Our new and fully integrated solution empowers product issuers, traders, brokers, and market makers to optimize their collateral usage, whether it’s crypto or traditional securities, with built-in risk management safeguards.”</w:t>
      </w:r>
    </w:p>
    <w:p>
      <w:pPr>
        <w:pStyle w:val="BodyText"/>
        <w:rPr/>
      </w:pPr>
      <w:r>
        <w:rPr/>
        <w:t>“</w:t>
      </w:r>
      <w:r>
        <w:rPr/>
        <w:t>This allows financial institutions to embrace crypto collateral on a larger scale,” he added.</w:t>
      </w:r>
    </w:p>
    <w:p>
      <w:pPr>
        <w:pStyle w:val="BodyText"/>
        <w:rPr/>
      </w:pPr>
      <w:r>
        <w:rPr/>
        <w:t>Meanwhile, Christian Geiger, Head of Clients &amp; Products Securities Finance at SIX, explained that the new service tailors to the growing demand of institutions for digital assets. Likewise, it provides a viable alternative to risk-averse investors.</w:t>
      </w:r>
    </w:p>
    <w:p>
      <w:pPr>
        <w:pStyle w:val="BodyText"/>
        <w:rPr/>
      </w:pPr>
      <w:r>
        <w:rPr/>
        <w:t>“</w:t>
      </w:r>
      <w:r>
        <w:rPr/>
        <w:t>Building on our role as a trusted financial market infrastructure and leveraging the flexibility of our state-of-the-art Triparty Agent, we are thrilled to expand our offerings to include cryptocurrencies as a new asset class for collateralization,” Geiger remarked. “With the growing institutional appetite for digital assets, we are committed to meeting the needs of this highly risk-conscious investor segment through our established and reliable services.”</w:t>
      </w:r>
    </w:p>
    <w:p>
      <w:pPr>
        <w:pStyle w:val="Heading2"/>
        <w:rPr/>
      </w:pPr>
      <w:r>
        <w:rPr/>
        <w:t>About the SIX Swiss Exchange</w:t>
      </w:r>
    </w:p>
    <w:p>
      <w:pPr>
        <w:pStyle w:val="BodyText"/>
        <w:rPr/>
      </w:pPr>
      <w:hyperlink r:id="rId5" w:tgtFrame="_blank">
        <w:r>
          <w:rPr>
            <w:rStyle w:val="Hyperlink"/>
          </w:rPr>
          <w:t>SIX</w:t>
        </w:r>
      </w:hyperlink>
      <w:r>
        <w:rPr/>
        <w:t xml:space="preserve"> is currently Europe’s third-largest stock exchange. The self-regulated and independent body covers the equities trading of over 250 companies, including small and mid-caps, family businesses, and international financial giants.</w:t>
      </w:r>
    </w:p>
    <w:p>
      <w:pPr>
        <w:pStyle w:val="BodyText"/>
        <w:spacing w:before="0" w:after="140"/>
        <w:rPr/>
      </w:pPr>
      <w:r>
        <w:rPr/>
        <w:t>In the middle of 2024, the SIX Group reported a free-float market capitalization of CHF 1.8 trillion ($1.98 trillion).</w:t>
      </w:r>
    </w:p>
    <w:sectPr>
      <w:type w:val="nextPage"/>
      <w:pgSz w:w="11906" w:h="16838"/>
      <w:pgMar w:left="1134" w:right="1134" w:gutter="0" w:header="0" w:top="1134" w:footer="0" w:bottom="1134"/>
      <w:pgNumType w:fmt="decimal"/>
      <w:formProt w:val="false"/>
      <w:textDirection w:val="lrTb"/>
      <w:docGrid w:type="default" w:linePitch="10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OpenSymbol">
    <w:altName w:val="Arial Unicode MS"/>
    <w:charset w:val="02"/>
    <w:family w:val="auto"/>
    <w:pitch w:val="default"/>
  </w:font>
  <w:font w:name="Liberation Sans">
    <w:altName w:val="Arial"/>
    <w:charset w:val="00"/>
    <w:family w:val="roman"/>
    <w:pitch w:val="variable"/>
  </w:font>
  <w:font w:name="Symbol">
    <w:charset w:val="02"/>
    <w:family w:val="auto"/>
    <w:pitch w:val="default"/>
  </w:font>
  <w:font w:name="OpenSymbol">
    <w:altName w:val="Arial Unicode MS"/>
    <w:charset w:val="01"/>
    <w:family w:val="auto"/>
    <w:pitch w:val="default"/>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none"/>
      <w:suff w:val="nothing"/>
      <w:lvlText w:val=""/>
      <w:lvlJc w:val="left"/>
      <w:pPr>
        <w:tabs>
          <w:tab w:val="num" w:pos="0"/>
        </w:tabs>
        <w:ind w:left="0" w:hanging="0"/>
      </w:pPr>
      <w:rPr/>
    </w:lvl>
    <w:lvl w:ilvl="1">
      <w:start w:val="1"/>
      <w:numFmt w:val="none"/>
      <w:suff w:val="nothing"/>
      <w:lvlText w:val=""/>
      <w:lvlJc w:val="left"/>
      <w:pPr>
        <w:tabs>
          <w:tab w:val="num" w:pos="0"/>
        </w:tabs>
        <w:ind w:left="0" w:hanging="0"/>
      </w:pPr>
      <w:rPr/>
    </w:lvl>
    <w:lvl w:ilvl="2">
      <w:start w:val="1"/>
      <w:numFmt w:val="none"/>
      <w:suff w:val="nothing"/>
      <w:lvlText w:val=""/>
      <w:lvlJc w:val="left"/>
      <w:pPr>
        <w:tabs>
          <w:tab w:val="num" w:pos="0"/>
        </w:tabs>
        <w:ind w:left="0" w:hanging="0"/>
      </w:pPr>
      <w:rPr/>
    </w:lvl>
    <w:lvl w:ilvl="3">
      <w:start w:val="1"/>
      <w:numFmt w:val="none"/>
      <w:suff w:val="nothing"/>
      <w:lvlText w:val=""/>
      <w:lvlJc w:val="left"/>
      <w:pPr>
        <w:tabs>
          <w:tab w:val="num" w:pos="0"/>
        </w:tabs>
        <w:ind w:left="0" w:hanging="0"/>
      </w:pPr>
      <w:rPr/>
    </w:lvl>
    <w:lvl w:ilvl="4">
      <w:start w:val="1"/>
      <w:numFmt w:val="none"/>
      <w:suff w:val="nothing"/>
      <w:lvlText w:val=""/>
      <w:lvlJc w:val="left"/>
      <w:pPr>
        <w:tabs>
          <w:tab w:val="num" w:pos="0"/>
        </w:tabs>
        <w:ind w:left="0" w:hanging="0"/>
      </w:pPr>
      <w:rPr/>
    </w:lvl>
    <w:lvl w:ilvl="5">
      <w:start w:val="1"/>
      <w:numFmt w:val="none"/>
      <w:suff w:val="nothing"/>
      <w:lvlText w:val=""/>
      <w:lvlJc w:val="left"/>
      <w:pPr>
        <w:tabs>
          <w:tab w:val="num" w:pos="0"/>
        </w:tabs>
        <w:ind w:left="0" w:hanging="0"/>
      </w:pPr>
      <w:rPr/>
    </w:lvl>
    <w:lvl w:ilvl="6">
      <w:start w:val="1"/>
      <w:numFmt w:val="none"/>
      <w:suff w:val="nothing"/>
      <w:lvlText w:val=""/>
      <w:lvlJc w:val="left"/>
      <w:pPr>
        <w:tabs>
          <w:tab w:val="num" w:pos="0"/>
        </w:tabs>
        <w:ind w:left="0" w:hanging="0"/>
      </w:pPr>
      <w:rPr/>
    </w:lvl>
    <w:lvl w:ilvl="7">
      <w:start w:val="1"/>
      <w:numFmt w:val="none"/>
      <w:suff w:val="nothing"/>
      <w:lvlText w:val=""/>
      <w:lvlJc w:val="left"/>
      <w:pPr>
        <w:tabs>
          <w:tab w:val="num" w:pos="0"/>
        </w:tabs>
        <w:ind w:left="0" w:hanging="0"/>
      </w:pPr>
      <w:rPr/>
    </w:lvl>
    <w:lvl w:ilvl="8">
      <w:start w:val="1"/>
      <w:numFmt w:val="none"/>
      <w:suff w:val="nothing"/>
      <w:lvlText w:val=""/>
      <w:lvlJc w:val="left"/>
      <w:pPr>
        <w:tabs>
          <w:tab w:val="num" w:pos="0"/>
        </w:tabs>
        <w:ind w:left="0" w:hanging="0"/>
      </w:pPr>
      <w:rPr/>
    </w:lvl>
  </w:abstractNum>
  <w:abstractNum w:abstractNumId="2">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3">
    <w:lvl w:ilvl="0">
      <w:start w:val="1"/>
      <w:numFmt w:val="none"/>
      <w:suff w:val="nothing"/>
      <w:lvlText w:val=""/>
      <w:lvlJc w:val="left"/>
      <w:pPr>
        <w:tabs>
          <w:tab w:val="num" w:pos="0"/>
        </w:tabs>
        <w:ind w:left="0" w:hanging="0"/>
      </w:pPr>
    </w:lvl>
    <w:lvl w:ilvl="1">
      <w:start w:val="1"/>
      <w:pStyle w:val="Heading2"/>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bering>
</file>

<file path=word/settings.xml><?xml version="1.0" encoding="utf-8"?>
<w:settings xmlns:w="http://schemas.openxmlformats.org/wordprocessingml/2006/main">
  <w:zoom w:percent="90"/>
  <w:defaultTabStop w:val="709"/>
  <w:autoHyphenation w:val="true"/>
  <w:compat>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SimSun" w:cs="Lucida Sans"/>
        <w:kern w:val="2"/>
        <w:sz w:val="24"/>
        <w:szCs w:val="24"/>
        <w:lang w:val="en-US" w:eastAsia="zh-CN" w:bidi="hi-IN"/>
      </w:rPr>
    </w:rPrDefault>
    <w:pPrDefault>
      <w:pPr>
        <w:suppressAutoHyphens w:val="true"/>
      </w:pPr>
    </w:pPrDefault>
  </w:docDefaults>
  <w:style w:type="paragraph" w:styleId="Normal">
    <w:name w:val="Normal"/>
    <w:qFormat/>
    <w:pPr>
      <w:widowControl/>
      <w:suppressAutoHyphens w:val="true"/>
      <w:bidi w:val="0"/>
      <w:spacing w:before="0" w:after="0"/>
      <w:jc w:val="left"/>
    </w:pPr>
    <w:rPr>
      <w:rFonts w:ascii="Liberation Serif" w:hAnsi="Liberation Serif" w:eastAsia="NSimSun" w:cs="Lucida Sans"/>
      <w:color w:val="auto"/>
      <w:kern w:val="2"/>
      <w:sz w:val="24"/>
      <w:szCs w:val="24"/>
      <w:lang w:val="en-US" w:eastAsia="zh-CN" w:bidi="hi-IN"/>
    </w:rPr>
  </w:style>
  <w:style w:type="paragraph" w:styleId="Heading1">
    <w:name w:val="Heading 1"/>
    <w:basedOn w:val="Heading"/>
    <w:next w:val="BodyText"/>
    <w:qFormat/>
    <w:pPr>
      <w:numPr>
        <w:ilvl w:val="0"/>
        <w:numId w:val="1"/>
      </w:numPr>
      <w:spacing w:before="240" w:after="120"/>
      <w:outlineLvl w:val="0"/>
    </w:pPr>
    <w:rPr>
      <w:b/>
      <w:bCs/>
      <w:sz w:val="36"/>
      <w:szCs w:val="36"/>
    </w:rPr>
  </w:style>
  <w:style w:type="paragraph" w:styleId="Heading2">
    <w:name w:val="Heading 2"/>
    <w:basedOn w:val="Heading"/>
    <w:next w:val="BodyText"/>
    <w:qFormat/>
    <w:pPr>
      <w:spacing w:before="200" w:after="120"/>
      <w:outlineLvl w:val="1"/>
    </w:pPr>
    <w:rPr>
      <w:rFonts w:ascii="Liberation Serif" w:hAnsi="Liberation Serif" w:eastAsia="NSimSun" w:cs="Lucida Sans"/>
      <w:b/>
      <w:bCs/>
      <w:sz w:val="36"/>
      <w:szCs w:val="36"/>
    </w:rPr>
  </w:style>
  <w:style w:type="character" w:styleId="Hyperlink">
    <w:name w:val="Hyperlink"/>
    <w:rPr>
      <w:color w:val="000080"/>
      <w:u w:val="single"/>
    </w:rPr>
  </w:style>
  <w:style w:type="character" w:styleId="Bullets">
    <w:name w:val="Bullets"/>
    <w:qFormat/>
    <w:rPr>
      <w:rFonts w:ascii="OpenSymbol" w:hAnsi="OpenSymbol" w:eastAsia="OpenSymbol" w:cs="OpenSymbol"/>
    </w:rPr>
  </w:style>
  <w:style w:type="character" w:styleId="Strong">
    <w:name w:val="Strong"/>
    <w:qFormat/>
    <w:rPr>
      <w:b/>
      <w:bCs/>
    </w:rPr>
  </w:style>
  <w:style w:type="paragraph" w:styleId="Heading">
    <w:name w:val="Heading"/>
    <w:basedOn w:val="Normal"/>
    <w:next w:val="BodyText"/>
    <w:qFormat/>
    <w:pPr>
      <w:keepNext w:val="true"/>
      <w:spacing w:before="240" w:after="120"/>
    </w:pPr>
    <w:rPr>
      <w:rFonts w:ascii="Liberation Sans" w:hAnsi="Liberation Sans" w:eastAsia="Microsoft YaHei" w:cs="Lucida Sans"/>
      <w:sz w:val="28"/>
      <w:szCs w:val="28"/>
    </w:rPr>
  </w:style>
  <w:style w:type="paragraph" w:styleId="BodyText">
    <w:name w:val="Body Text"/>
    <w:basedOn w:val="Normal"/>
    <w:pPr>
      <w:spacing w:lineRule="auto" w:line="276" w:before="0" w:after="140"/>
    </w:pPr>
    <w:rPr/>
  </w:style>
  <w:style w:type="paragraph" w:styleId="List">
    <w:name w:val="List"/>
    <w:basedOn w:val="BodyText"/>
    <w:pPr/>
    <w:rPr>
      <w:rFonts w:cs="Lucida Sans"/>
    </w:rPr>
  </w:style>
  <w:style w:type="paragraph" w:styleId="Caption">
    <w:name w:val="Caption"/>
    <w:basedOn w:val="Normal"/>
    <w:qFormat/>
    <w:pPr>
      <w:suppressLineNumbers/>
      <w:spacing w:before="120" w:after="120"/>
    </w:pPr>
    <w:rPr>
      <w:rFonts w:cs="Lucida Sans"/>
      <w:i/>
      <w:iCs/>
      <w:sz w:val="24"/>
      <w:szCs w:val="24"/>
    </w:rPr>
  </w:style>
  <w:style w:type="paragraph" w:styleId="Index">
    <w:name w:val="Index"/>
    <w:basedOn w:val="Normal"/>
    <w:qFormat/>
    <w:pPr>
      <w:suppressLineNumbers/>
    </w:pPr>
    <w:rPr>
      <w:rFonts w:cs="Lucida Sans"/>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s://www.six-group.com/en/newsroom/media-releases/2025/20250212-digital-collateral-service.html" TargetMode="External"/><Relationship Id="rId3" Type="http://schemas.openxmlformats.org/officeDocument/2006/relationships/hyperlink" Target="https://blockzeit.com/currencies/bitcoin/" TargetMode="External"/><Relationship Id="rId4" Type="http://schemas.openxmlformats.org/officeDocument/2006/relationships/hyperlink" Target="https://blockzeit.com/sdx-and-cv-vc-partner-up-to-boost-swiss-crypto-landscape/" TargetMode="External"/><Relationship Id="rId5" Type="http://schemas.openxmlformats.org/officeDocument/2006/relationships/hyperlink" Target="https://www.six-group.com/en/products-services/the-swiss-stock-exchange/l" TargetMode="External"/><Relationship Id="rId6" Type="http://schemas.openxmlformats.org/officeDocument/2006/relationships/numbering" Target="numbering.xml"/><Relationship Id="rId7" Type="http://schemas.openxmlformats.org/officeDocument/2006/relationships/fontTable" Target="fontTable.xml"/><Relationship Id="rId8" Type="http://schemas.openxmlformats.org/officeDocument/2006/relationships/settings" Target="settings.xml"/><Relationship Id="rId9" Type="http://schemas.openxmlformats.org/officeDocument/2006/relationships/theme" Target="theme/theme1.xml"/>
</Relationships>
</file>

<file path=word/theme/theme1.xml><?xml version="1.0" encoding="utf-8"?>
<a:theme xmlns:a="http://schemas.openxmlformats.org/drawingml/2006/main" xmlns:r="http://schemas.openxmlformats.org/officeDocument/2006/relationships" name="Office">
  <a:themeElements>
    <a:clrScheme name="LibreOffice">
      <a:dk1>
        <a:srgbClr val="000000"/>
      </a:dk1>
      <a:lt1>
        <a:srgbClr val="ffffff"/>
      </a:lt1>
      <a:dk2>
        <a:srgbClr val="000000"/>
      </a:dk2>
      <a:lt2>
        <a:srgbClr val="ffffff"/>
      </a:lt2>
      <a:accent1>
        <a:srgbClr val="18a303"/>
      </a:accent1>
      <a:accent2>
        <a:srgbClr val="0369a3"/>
      </a:accent2>
      <a:accent3>
        <a:srgbClr val="a33e03"/>
      </a:accent3>
      <a:accent4>
        <a:srgbClr val="8e03a3"/>
      </a:accent4>
      <a:accent5>
        <a:srgbClr val="c99c00"/>
      </a:accent5>
      <a:accent6>
        <a:srgbClr val="c9211e"/>
      </a:accent6>
      <a:hlink>
        <a:srgbClr val="0000ee"/>
      </a:hlink>
      <a:folHlink>
        <a:srgbClr val="551a8b"/>
      </a:folHlink>
    </a:clrScheme>
    <a:fontScheme name="Office">
      <a:majorFont>
        <a:latin typeface="Arial" pitchFamily="0" charset="1"/>
        <a:ea typeface="DejaVu Sans" pitchFamily="0" charset="1"/>
        <a:cs typeface="DejaVu Sans" pitchFamily="0" charset="1"/>
      </a:majorFont>
      <a:minorFont>
        <a:latin typeface="Arial" pitchFamily="0" charset="1"/>
        <a:ea typeface="DejaVu Sans" pitchFamily="0" charset="1"/>
        <a:cs typeface="DejaVu Sans" pitchFamily="0" charset="1"/>
      </a:minorFont>
    </a:fontScheme>
    <a:fmtScheme>
      <a:fillStyleLst>
        <a:solidFill>
          <a:schemeClr val="phClr"/>
        </a:solidFill>
        <a:solidFill>
          <a:schemeClr val="phClr"/>
        </a:solidFill>
        <a:solidFill>
          <a:schemeClr val="phClr"/>
        </a:solidFill>
      </a:fillStyleLst>
      <a:lnStyleLst>
        <a:ln w="6350" cap="flat" cmpd="sng" algn="ctr">
          <a:prstDash val="solid"/>
          <a:miter/>
        </a:ln>
        <a:ln w="6350" cap="flat" cmpd="sng" algn="ctr">
          <a:prstDash val="solid"/>
          <a:miter/>
        </a:ln>
        <a:ln w="6350" cap="flat" cmpd="sng" algn="ctr">
          <a:prstDash val="solid"/>
          <a:miter/>
        </a:ln>
      </a:lnStyleLst>
      <a:effectStyleLst>
        <a:effectStyle>
          <a:effectLst/>
        </a:effectStyle>
        <a:effectStyle>
          <a:effectLst/>
        </a:effectStyle>
        <a:effectStyle>
          <a:effectLst/>
        </a:effectStyle>
      </a:effectStyleLst>
      <a:bgFillStyleLst>
        <a:solidFill>
          <a:schemeClr val="phClr"/>
        </a:solidFill>
        <a:solidFill>
          <a:schemeClr val="phClr"/>
        </a:solidFill>
        <a:solidFill>
          <a:schemeClr val="phClr"/>
        </a:solidFill>
      </a:bgFillStyleLst>
    </a:fmtScheme>
  </a:themeElements>
</a:theme>
</file>

<file path=docProps/app.xml><?xml version="1.0" encoding="utf-8"?>
<Properties xmlns="http://schemas.openxmlformats.org/officeDocument/2006/extended-properties" xmlns:vt="http://schemas.openxmlformats.org/officeDocument/2006/docPropsVTypes">
  <Template/>
  <TotalTime>14</TotalTime>
  <Application>LibreOffice/24.2.1.2$Windows_X86_64 LibreOffice_project/db4def46b0453cc22e2d0305797cf981b68ef5ac</Application>
  <AppVersion>15.0000</AppVersion>
  <Pages>2</Pages>
  <Words>453</Words>
  <Characters>2703</Characters>
  <CharactersWithSpaces>3140</CharactersWithSpaces>
  <Paragraphs>16</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2025-02-13T13:16:43Z</dcterms:created>
  <dc:creator/>
  <dc:description/>
  <dc:language>en-US</dc:language>
  <cp:lastModifiedBy/>
  <dcterms:modified xsi:type="dcterms:W3CDTF">2025-02-13T18:12:47Z</dcterms:modified>
  <cp:revision>4</cp:revision>
  <dc:subject/>
  <dc:title/>
</cp:coreProperties>
</file>

<file path=docProps/custom.xml><?xml version="1.0" encoding="utf-8"?>
<Properties xmlns="http://schemas.openxmlformats.org/officeDocument/2006/custom-properties" xmlns:vt="http://schemas.openxmlformats.org/officeDocument/2006/docPropsVTypes"/>
</file>